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A638" w14:textId="572CD052" w:rsidR="004354B6" w:rsidRPr="00AE6224" w:rsidRDefault="00F2049C" w:rsidP="00E268AF">
      <w:pPr>
        <w:pStyle w:val="NormaleWeb"/>
        <w:shd w:val="clear" w:color="auto" w:fill="FFFFFF"/>
        <w:spacing w:before="0" w:beforeAutospacing="0" w:after="150" w:afterAutospacing="0"/>
        <w:jc w:val="both"/>
        <w:rPr>
          <w:color w:val="1C2024"/>
        </w:rPr>
      </w:pPr>
      <w:r w:rsidRPr="00AE6224">
        <w:rPr>
          <w:color w:val="1C2024"/>
        </w:rPr>
        <w:t>L'Accesso civico</w:t>
      </w:r>
      <w:r w:rsidR="00B94630">
        <w:rPr>
          <w:color w:val="1C2024"/>
        </w:rPr>
        <w:t xml:space="preserve"> </w:t>
      </w:r>
      <w:r w:rsidRPr="00AE6224">
        <w:rPr>
          <w:color w:val="1C2024"/>
        </w:rPr>
        <w:t>consente a chiunque di accedere a dati, documenti e informazioni delle pubbliche amministrazioni senza necessità di dimostrare un interesse qualificato (Art. 5, D.Lgs. 33/2013)</w:t>
      </w:r>
      <w:r w:rsidR="004354B6" w:rsidRPr="00AE6224">
        <w:rPr>
          <w:color w:val="1C2024"/>
        </w:rPr>
        <w:t>.</w:t>
      </w:r>
    </w:p>
    <w:p w14:paraId="68319DDD" w14:textId="77777777" w:rsidR="00E668D9" w:rsidRPr="00AE6224" w:rsidRDefault="00D25038" w:rsidP="00E268AF">
      <w:pPr>
        <w:pStyle w:val="NormaleWeb"/>
        <w:shd w:val="clear" w:color="auto" w:fill="FFFFFF"/>
        <w:spacing w:before="0" w:beforeAutospacing="0" w:after="150" w:afterAutospacing="0"/>
        <w:jc w:val="both"/>
        <w:rPr>
          <w:color w:val="1C2024"/>
        </w:rPr>
      </w:pPr>
      <w:r w:rsidRPr="00AE6224">
        <w:rPr>
          <w:color w:val="1C2024"/>
        </w:rPr>
        <w:t>C</w:t>
      </w:r>
      <w:r w:rsidR="00E668D9" w:rsidRPr="00AE6224">
        <w:rPr>
          <w:color w:val="1C2024"/>
        </w:rPr>
        <w:t xml:space="preserve">onsente a chiunque di richiedere documenti, dati o informazioni che le amministrazioni hanno l'obbligo di pubblicare nella sezione "Amministrazione trasparente" dei propri siti istituzionali, nei casi in cui gli stessi non siano stati pubblicati (art.5, c. 1). </w:t>
      </w:r>
    </w:p>
    <w:p w14:paraId="52821A39" w14:textId="77777777" w:rsidR="00D25038" w:rsidRPr="00AE6224" w:rsidRDefault="00D25038" w:rsidP="00E268AF">
      <w:pPr>
        <w:pStyle w:val="NormaleWeb"/>
        <w:shd w:val="clear" w:color="auto" w:fill="FFFFFF"/>
        <w:spacing w:before="0" w:beforeAutospacing="0" w:after="150" w:afterAutospacing="0"/>
        <w:jc w:val="both"/>
        <w:rPr>
          <w:color w:val="1C2024"/>
        </w:rPr>
      </w:pPr>
      <w:r w:rsidRPr="00AE6224">
        <w:rPr>
          <w:color w:val="1C2024"/>
        </w:rPr>
        <w:t>La voluntas legis è, pertanto, quella di far corrispondere al dovere di pubblicazione gravante in capo alle Pubbliche amministrazioni il diritto dei privati di accedere ai documenti, ai dati e alle informazioni interessati all’inadempienza.</w:t>
      </w:r>
    </w:p>
    <w:p w14:paraId="6434EEF9" w14:textId="77777777" w:rsidR="00D25038" w:rsidRPr="00AE6224" w:rsidRDefault="00D25038" w:rsidP="00E268AF">
      <w:pPr>
        <w:pStyle w:val="NormaleWeb"/>
        <w:shd w:val="clear" w:color="auto" w:fill="FFFFFF"/>
        <w:spacing w:before="0" w:beforeAutospacing="0" w:after="150" w:afterAutospacing="0"/>
        <w:jc w:val="both"/>
        <w:rPr>
          <w:color w:val="1C2024"/>
        </w:rPr>
      </w:pPr>
      <w:r w:rsidRPr="00AE6224">
        <w:rPr>
          <w:color w:val="1C2024"/>
        </w:rPr>
        <w:t>Una peculiarità dell’accesso civico de quo si ravvisa nel fatto che in capo al richiedente non vi sia alcun onere di motivare l’istanza di accesso e questa circostanza trova la sua ratio nel fatto che oggetto della richiesta di ostensione siano proprio quei documenti che devono essere pubblicati, ex lege, dalle Pubbliche amministrazioni all’interno dell’apposita sezione "Amministrazione trasparente" presente sui siti istituzionali di ciascuna di esse. Trattasi, dunque, dell’accesso a quegli atti e a quei documenti di per sé pubblici ed in quanto tali conoscibili e fruibili gratuitamente da parte di “ogni cittadino”.</w:t>
      </w:r>
    </w:p>
    <w:p w14:paraId="5DC0A05F" w14:textId="77777777" w:rsidR="00791FF4" w:rsidRPr="00AE6224" w:rsidRDefault="00791FF4" w:rsidP="004354B6">
      <w:pPr>
        <w:pStyle w:val="NormaleWeb"/>
        <w:shd w:val="clear" w:color="auto" w:fill="FFFFFF"/>
        <w:spacing w:before="0" w:beforeAutospacing="0" w:after="150" w:afterAutospacing="0"/>
        <w:rPr>
          <w:color w:val="1C2024"/>
        </w:rPr>
      </w:pPr>
      <w:r w:rsidRPr="00AE6224">
        <w:rPr>
          <w:rStyle w:val="Enfasigrassetto"/>
          <w:color w:val="1C2024"/>
        </w:rPr>
        <w:t>Come presentare l’istanza</w:t>
      </w:r>
    </w:p>
    <w:p w14:paraId="41D53527" w14:textId="77777777" w:rsidR="00791FF4" w:rsidRPr="00AE6224" w:rsidRDefault="00791FF4" w:rsidP="00E268AF">
      <w:pPr>
        <w:pStyle w:val="NormaleWeb"/>
        <w:shd w:val="clear" w:color="auto" w:fill="FFFFFF"/>
        <w:spacing w:before="0" w:beforeAutospacing="0" w:after="150" w:afterAutospacing="0"/>
        <w:jc w:val="both"/>
        <w:rPr>
          <w:color w:val="FFFFFF"/>
          <w:shd w:val="clear" w:color="auto" w:fill="00277A"/>
        </w:rPr>
      </w:pPr>
      <w:r w:rsidRPr="00AE6224">
        <w:rPr>
          <w:color w:val="1C2024"/>
        </w:rPr>
        <w:t xml:space="preserve">L’istanza di accesso civico </w:t>
      </w:r>
      <w:r w:rsidR="00A76D45" w:rsidRPr="00AE6224">
        <w:rPr>
          <w:color w:val="1C2024"/>
        </w:rPr>
        <w:t>semplice</w:t>
      </w:r>
      <w:r w:rsidRPr="00AE6224">
        <w:rPr>
          <w:color w:val="1C2024"/>
        </w:rPr>
        <w:t xml:space="preserve"> può essere inviata via e-mai</w:t>
      </w:r>
      <w:r w:rsidR="006B099A" w:rsidRPr="00AE6224">
        <w:rPr>
          <w:color w:val="1C2024"/>
        </w:rPr>
        <w:t xml:space="preserve">l: segreteria@ordinemediciaq.it, PEC: segreteria.aq@pec.omceo.it, </w:t>
      </w:r>
      <w:r w:rsidRPr="00AE6224">
        <w:rPr>
          <w:color w:val="1C2024"/>
        </w:rPr>
        <w:t xml:space="preserve">ovvero a mezzo posta, a mano all’indirizzo </w:t>
      </w:r>
      <w:r w:rsidR="00E268AF" w:rsidRPr="00AE6224">
        <w:rPr>
          <w:color w:val="1C2024"/>
        </w:rPr>
        <w:t>Via Giovanni Gronchi 16, 67100 L’Aquila</w:t>
      </w:r>
      <w:r w:rsidRPr="00AE6224">
        <w:rPr>
          <w:color w:val="1C2024"/>
        </w:rPr>
        <w:t xml:space="preserve">. </w:t>
      </w:r>
      <w:proofErr w:type="gramStart"/>
      <w:r w:rsidRPr="00AE6224">
        <w:rPr>
          <w:color w:val="1C2024"/>
        </w:rPr>
        <w:t>E’</w:t>
      </w:r>
      <w:proofErr w:type="gramEnd"/>
      <w:r w:rsidR="006B099A" w:rsidRPr="00AE6224">
        <w:rPr>
          <w:color w:val="1C2024"/>
        </w:rPr>
        <w:t xml:space="preserve"> </w:t>
      </w:r>
      <w:r w:rsidRPr="00AE6224">
        <w:rPr>
          <w:color w:val="1C2024"/>
        </w:rPr>
        <w:t>preferibile utilizzare l’apposito </w:t>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r>
      <w:r w:rsidR="006B099A" w:rsidRPr="00AE6224">
        <w:rPr>
          <w:color w:val="1C2024"/>
        </w:rPr>
        <w:softHyphen/>
        <w:t xml:space="preserve">modulo pubblicato sul sito </w:t>
      </w:r>
    </w:p>
    <w:p w14:paraId="2B64EE70" w14:textId="77777777" w:rsidR="00791FF4" w:rsidRPr="00AE6224" w:rsidRDefault="00791FF4" w:rsidP="00A76D45">
      <w:pPr>
        <w:pStyle w:val="NormaleWeb"/>
        <w:shd w:val="clear" w:color="auto" w:fill="FFFFFF"/>
        <w:spacing w:before="0" w:beforeAutospacing="0" w:after="150" w:afterAutospacing="0"/>
        <w:jc w:val="both"/>
        <w:rPr>
          <w:color w:val="1C2024"/>
        </w:rPr>
      </w:pPr>
      <w:r w:rsidRPr="00AE6224">
        <w:rPr>
          <w:color w:val="1C2024"/>
        </w:rPr>
        <w:t>La richiesta non necessita di motivazione ma deve essere specifica e consentire l’individuazione del dato o del documento di cui è richiesto l’accesso, nonché le generalità del richiedente con i relativi recapiti.</w:t>
      </w:r>
    </w:p>
    <w:p w14:paraId="5A1C0D49" w14:textId="77777777" w:rsidR="00B94B8F" w:rsidRPr="00AE6224" w:rsidRDefault="00B94B8F" w:rsidP="00B94B8F">
      <w:pPr>
        <w:pStyle w:val="NormaleWeb"/>
        <w:shd w:val="clear" w:color="auto" w:fill="FFFFFF"/>
        <w:spacing w:after="150"/>
        <w:jc w:val="both"/>
        <w:rPr>
          <w:color w:val="1C2024"/>
        </w:rPr>
      </w:pPr>
      <w:r w:rsidRPr="00AE6224">
        <w:rPr>
          <w:color w:val="1C2024"/>
        </w:rPr>
        <w:t>In caso di accoglimento, l’amministrazione entro 30 giorni procede all’inserimento sul sito dei dati, delle informazioni o dei documenti richiesti e comunica al richiedente l’avvenuta pubblicazione, indicando il collegamento ipertestuale a quanto richiesto nell’istanza presentata.</w:t>
      </w:r>
    </w:p>
    <w:p w14:paraId="0136981E" w14:textId="7653E837" w:rsidR="00B94B8F" w:rsidRPr="00AE6224" w:rsidRDefault="00B94B8F" w:rsidP="00B94B8F">
      <w:pPr>
        <w:pStyle w:val="NormaleWeb"/>
        <w:shd w:val="clear" w:color="auto" w:fill="FFFFFF"/>
        <w:spacing w:before="0" w:beforeAutospacing="0" w:after="150" w:afterAutospacing="0"/>
        <w:jc w:val="both"/>
        <w:rPr>
          <w:color w:val="1C2024"/>
        </w:rPr>
      </w:pPr>
      <w:r w:rsidRPr="00AE6224">
        <w:rPr>
          <w:color w:val="1C2024"/>
        </w:rPr>
        <w:t>Nei casi di ritardo o mancata risposta, l’istante può ricorrere al titolare del potere sostitutiv</w:t>
      </w:r>
      <w:r w:rsidR="00AE6224">
        <w:rPr>
          <w:color w:val="1C2024"/>
        </w:rPr>
        <w:t xml:space="preserve">o </w:t>
      </w:r>
      <w:r w:rsidRPr="00AE6224">
        <w:rPr>
          <w:color w:val="1C2024"/>
        </w:rPr>
        <w:t>che, verificata la sussistenza dell’obbligo di pubblicazione, provvede entro 15 giorni dal ricevimento della richiesta.</w:t>
      </w:r>
    </w:p>
    <w:p w14:paraId="26766E46" w14:textId="77777777" w:rsidR="00B94B8F" w:rsidRPr="00AE6224" w:rsidRDefault="00B94B8F" w:rsidP="00B94B8F">
      <w:pPr>
        <w:pStyle w:val="NormaleWeb"/>
        <w:shd w:val="clear" w:color="auto" w:fill="FFFFFF"/>
        <w:spacing w:after="150"/>
        <w:jc w:val="both"/>
        <w:rPr>
          <w:color w:val="1C2024"/>
        </w:rPr>
      </w:pPr>
      <w:r w:rsidRPr="00AE6224">
        <w:rPr>
          <w:color w:val="1C2024"/>
        </w:rPr>
        <w:t xml:space="preserve">L’istanza può essere trasmessa anche per via telematica compilando il Modulo richiesta accesso civico al titolare del potere sostitutivo inoltrandola al seguente indirizzo di posta elettronica: </w:t>
      </w:r>
      <w:hyperlink r:id="rId4" w:history="1">
        <w:r w:rsidRPr="00AE6224">
          <w:rPr>
            <w:rStyle w:val="Collegamentoipertestuale"/>
          </w:rPr>
          <w:t>segreteria.aq@pec.omceo.it</w:t>
        </w:r>
      </w:hyperlink>
      <w:r w:rsidRPr="00AE6224">
        <w:rPr>
          <w:color w:val="1C2024"/>
        </w:rPr>
        <w:t xml:space="preserve">. </w:t>
      </w:r>
    </w:p>
    <w:p w14:paraId="28712FD3" w14:textId="239C864C" w:rsidR="00B94B8F" w:rsidRPr="00AE6224" w:rsidRDefault="00B94B8F" w:rsidP="00B94B8F">
      <w:pPr>
        <w:pStyle w:val="NormaleWeb"/>
        <w:shd w:val="clear" w:color="auto" w:fill="FFFFFF"/>
        <w:spacing w:before="0" w:beforeAutospacing="0" w:after="150" w:afterAutospacing="0"/>
        <w:jc w:val="both"/>
        <w:rPr>
          <w:color w:val="1C2024"/>
        </w:rPr>
      </w:pPr>
      <w:r w:rsidRPr="00AE6224">
        <w:rPr>
          <w:color w:val="1C2024"/>
        </w:rPr>
        <w:t>A fronte dell’inerzia da parte del RPCT o del titolare del potere sostitutivo, il richiedente, ai fini della tutela del proprio diritto, può proporre ricorso al Tribunale amministrativo regionale ai sensi dell’articolo 116 del Codice del processo amministrativo del d.lgs. 2 luglio 2010, n. 104.</w:t>
      </w:r>
    </w:p>
    <w:p w14:paraId="19448011" w14:textId="77777777" w:rsidR="00791FF4" w:rsidRDefault="00791FF4" w:rsidP="00E268AF">
      <w:pPr>
        <w:jc w:val="both"/>
      </w:pPr>
    </w:p>
    <w:sectPr w:rsidR="00791F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F4"/>
    <w:rsid w:val="0021575E"/>
    <w:rsid w:val="004354B6"/>
    <w:rsid w:val="006B099A"/>
    <w:rsid w:val="00791FF4"/>
    <w:rsid w:val="00A76D45"/>
    <w:rsid w:val="00AE6224"/>
    <w:rsid w:val="00B94630"/>
    <w:rsid w:val="00B94B8F"/>
    <w:rsid w:val="00D110E2"/>
    <w:rsid w:val="00D25038"/>
    <w:rsid w:val="00E268AF"/>
    <w:rsid w:val="00E668D9"/>
    <w:rsid w:val="00F20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047B"/>
  <w15:chartTrackingRefBased/>
  <w15:docId w15:val="{46666CB4-615D-49B5-9021-2B2025B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1F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1FF4"/>
    <w:rPr>
      <w:b/>
      <w:bCs/>
    </w:rPr>
  </w:style>
  <w:style w:type="character" w:styleId="Collegamentoipertestuale">
    <w:name w:val="Hyperlink"/>
    <w:basedOn w:val="Carpredefinitoparagrafo"/>
    <w:uiPriority w:val="99"/>
    <w:unhideWhenUsed/>
    <w:rsid w:val="00791FF4"/>
    <w:rPr>
      <w:color w:val="0000FF"/>
      <w:u w:val="single"/>
    </w:rPr>
  </w:style>
  <w:style w:type="character" w:styleId="Menzionenonrisolta">
    <w:name w:val="Unresolved Mention"/>
    <w:basedOn w:val="Carpredefinitoparagrafo"/>
    <w:uiPriority w:val="99"/>
    <w:semiHidden/>
    <w:unhideWhenUsed/>
    <w:rsid w:val="006B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52413">
      <w:bodyDiv w:val="1"/>
      <w:marLeft w:val="0"/>
      <w:marRight w:val="0"/>
      <w:marTop w:val="0"/>
      <w:marBottom w:val="0"/>
      <w:divBdr>
        <w:top w:val="none" w:sz="0" w:space="0" w:color="auto"/>
        <w:left w:val="none" w:sz="0" w:space="0" w:color="auto"/>
        <w:bottom w:val="none" w:sz="0" w:space="0" w:color="auto"/>
        <w:right w:val="none" w:sz="0" w:space="0" w:color="auto"/>
      </w:divBdr>
    </w:div>
    <w:div w:id="17859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aq@pec.omc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437</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Masciocchi</dc:creator>
  <cp:keywords/>
  <dc:description/>
  <cp:lastModifiedBy>omceo aq</cp:lastModifiedBy>
  <cp:revision>3</cp:revision>
  <dcterms:created xsi:type="dcterms:W3CDTF">2021-09-15T08:36:00Z</dcterms:created>
  <dcterms:modified xsi:type="dcterms:W3CDTF">2022-06-17T07:11:00Z</dcterms:modified>
</cp:coreProperties>
</file>